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FB9CD">
      <w:pPr>
        <w:jc w:val="center"/>
        <w:rPr>
          <w:rFonts w:hint="eastAsia" w:asciiTheme="majorEastAsia" w:hAnsiTheme="majorEastAsia" w:eastAsiaTheme="majorEastAsia" w:cstheme="majorEastAsia"/>
          <w:sz w:val="36"/>
          <w:szCs w:val="36"/>
          <w:lang w:val="en-US" w:eastAsia="zh-CN"/>
        </w:rPr>
      </w:pPr>
      <w:r>
        <w:rPr>
          <w:rFonts w:hint="eastAsia" w:asciiTheme="majorEastAsia" w:hAnsiTheme="majorEastAsia" w:eastAsiaTheme="majorEastAsia" w:cstheme="majorEastAsia"/>
          <w:sz w:val="36"/>
          <w:szCs w:val="36"/>
          <w:lang w:val="en-US" w:eastAsia="zh-CN"/>
        </w:rPr>
        <w:t>东风汽车财务有限公司</w:t>
      </w:r>
    </w:p>
    <w:p w14:paraId="7074080D">
      <w:pPr>
        <w:jc w:val="center"/>
        <w:rPr>
          <w:rFonts w:hint="eastAsia" w:asciiTheme="minorEastAsia" w:hAnsiTheme="minorEastAsia" w:eastAsiaTheme="minorEastAsia" w:cstheme="minorEastAsia"/>
          <w:sz w:val="36"/>
          <w:szCs w:val="36"/>
          <w:lang w:val="en-US" w:eastAsia="zh-CN"/>
        </w:rPr>
      </w:pPr>
      <w:r>
        <w:rPr>
          <w:rFonts w:hint="eastAsia" w:asciiTheme="majorEastAsia" w:hAnsiTheme="majorEastAsia" w:eastAsiaTheme="majorEastAsia" w:cstheme="majorEastAsia"/>
          <w:sz w:val="36"/>
          <w:szCs w:val="36"/>
          <w:lang w:val="en-US" w:eastAsia="zh-CN"/>
        </w:rPr>
        <w:t>2024年一季度第三支柱信息披露报告</w:t>
      </w:r>
    </w:p>
    <w:p w14:paraId="40369D61">
      <w:pPr>
        <w:jc w:val="both"/>
        <w:rPr>
          <w:rFonts w:hint="eastAsia" w:asciiTheme="minorEastAsia" w:hAnsiTheme="minorEastAsia" w:eastAsiaTheme="minorEastAsia" w:cstheme="minorEastAsia"/>
          <w:sz w:val="32"/>
          <w:szCs w:val="32"/>
          <w:lang w:val="en-US" w:eastAsia="zh-CN"/>
        </w:rPr>
      </w:pPr>
    </w:p>
    <w:p w14:paraId="0473004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根据《商业银行资本管理办法》信息披露的相关要求，东风汽车财务有限公司现对202</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lang w:val="en-US" w:eastAsia="zh-CN"/>
        </w:rPr>
        <w:t>年</w:t>
      </w:r>
      <w:r>
        <w:rPr>
          <w:rFonts w:hint="eastAsia" w:asciiTheme="minorEastAsia" w:hAnsiTheme="minorEastAsia" w:cstheme="minorEastAsia"/>
          <w:sz w:val="28"/>
          <w:szCs w:val="28"/>
          <w:lang w:val="en-US" w:eastAsia="zh-CN"/>
        </w:rPr>
        <w:t>一</w:t>
      </w:r>
      <w:r>
        <w:rPr>
          <w:rFonts w:hint="eastAsia" w:asciiTheme="minorEastAsia" w:hAnsiTheme="minorEastAsia" w:eastAsiaTheme="minorEastAsia" w:cstheme="minorEastAsia"/>
          <w:sz w:val="28"/>
          <w:szCs w:val="28"/>
          <w:lang w:val="en-US" w:eastAsia="zh-CN"/>
        </w:rPr>
        <w:t>季度第三支柱信息披露如下：</w:t>
      </w:r>
    </w:p>
    <w:tbl>
      <w:tblPr>
        <w:tblStyle w:val="4"/>
        <w:tblW w:w="830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7"/>
        <w:gridCol w:w="6218"/>
        <w:gridCol w:w="1543"/>
      </w:tblGrid>
      <w:tr w14:paraId="7A920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6765" w:type="dxa"/>
            <w:gridSpan w:val="2"/>
            <w:tcBorders>
              <w:top w:val="single" w:color="000000" w:sz="8" w:space="0"/>
              <w:left w:val="nil"/>
              <w:bottom w:val="single" w:color="000000" w:sz="8" w:space="0"/>
              <w:right w:val="single" w:color="000000" w:sz="8" w:space="0"/>
            </w:tcBorders>
            <w:shd w:val="clear" w:color="auto" w:fill="auto"/>
            <w:vAlign w:val="center"/>
          </w:tcPr>
          <w:p w14:paraId="0E807F16">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kern w:val="0"/>
                <w:sz w:val="18"/>
                <w:szCs w:val="18"/>
                <w:u w:val="none"/>
                <w:lang w:val="en-US" w:eastAsia="zh-CN" w:bidi="ar"/>
              </w:rPr>
            </w:pPr>
            <w:r>
              <w:rPr>
                <w:rFonts w:hint="eastAsia" w:asciiTheme="minorEastAsia" w:hAnsiTheme="minorEastAsia" w:eastAsiaTheme="minorEastAsia" w:cstheme="minorEastAsia"/>
                <w:b/>
                <w:bCs/>
                <w:i w:val="0"/>
                <w:iCs w:val="0"/>
                <w:color w:val="000000"/>
                <w:kern w:val="0"/>
                <w:sz w:val="20"/>
                <w:szCs w:val="20"/>
                <w:u w:val="none"/>
                <w:lang w:val="en-US" w:eastAsia="zh-CN" w:bidi="ar"/>
              </w:rPr>
              <w:t>KMI关键审慎监管指标</w:t>
            </w:r>
          </w:p>
        </w:tc>
        <w:tc>
          <w:tcPr>
            <w:tcW w:w="1543" w:type="dxa"/>
            <w:tcBorders>
              <w:top w:val="single" w:color="000000" w:sz="8" w:space="0"/>
              <w:left w:val="nil"/>
              <w:bottom w:val="single" w:color="000000" w:sz="8" w:space="0"/>
              <w:right w:val="nil"/>
            </w:tcBorders>
            <w:shd w:val="clear" w:color="auto" w:fill="auto"/>
            <w:vAlign w:val="center"/>
          </w:tcPr>
          <w:p w14:paraId="33A4EEF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18"/>
                <w:szCs w:val="18"/>
                <w:u w:val="none"/>
                <w:lang w:val="en-US" w:eastAsia="zh-CN" w:bidi="ar"/>
              </w:rPr>
            </w:pPr>
            <w:r>
              <w:rPr>
                <w:rFonts w:hint="eastAsia" w:asciiTheme="minorEastAsia" w:hAnsiTheme="minorEastAsia" w:eastAsiaTheme="minorEastAsia" w:cstheme="minorEastAsia"/>
                <w:b/>
                <w:bCs/>
                <w:i w:val="0"/>
                <w:iCs w:val="0"/>
                <w:color w:val="000000"/>
                <w:kern w:val="0"/>
                <w:sz w:val="18"/>
                <w:szCs w:val="18"/>
                <w:u w:val="none"/>
                <w:lang w:val="en-US" w:eastAsia="zh-CN" w:bidi="ar"/>
              </w:rPr>
              <w:t>2024年3月</w:t>
            </w:r>
          </w:p>
        </w:tc>
      </w:tr>
      <w:tr w14:paraId="7A1CC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9D9D9"/>
            <w:vAlign w:val="top"/>
          </w:tcPr>
          <w:p w14:paraId="6E8B5E9E">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可用资本（数额）</w:t>
            </w:r>
          </w:p>
        </w:tc>
      </w:tr>
      <w:tr w14:paraId="0DFE2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47" w:type="dxa"/>
            <w:tcBorders>
              <w:top w:val="nil"/>
              <w:left w:val="nil"/>
              <w:bottom w:val="single" w:color="000000" w:sz="8" w:space="0"/>
              <w:right w:val="single" w:color="000000" w:sz="8" w:space="0"/>
            </w:tcBorders>
            <w:shd w:val="clear" w:color="auto" w:fill="auto"/>
            <w:vAlign w:val="center"/>
          </w:tcPr>
          <w:p w14:paraId="257A7F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6218" w:type="dxa"/>
            <w:tcBorders>
              <w:top w:val="nil"/>
              <w:left w:val="nil"/>
              <w:bottom w:val="single" w:color="000000" w:sz="8" w:space="0"/>
              <w:right w:val="single" w:color="000000" w:sz="8" w:space="0"/>
            </w:tcBorders>
            <w:shd w:val="clear" w:color="auto" w:fill="auto"/>
            <w:vAlign w:val="center"/>
          </w:tcPr>
          <w:p w14:paraId="280C27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核心一级资本净额（万元）</w:t>
            </w:r>
          </w:p>
        </w:tc>
        <w:tc>
          <w:tcPr>
            <w:tcW w:w="1543" w:type="dxa"/>
            <w:tcBorders>
              <w:top w:val="nil"/>
              <w:left w:val="nil"/>
              <w:bottom w:val="single" w:color="000000" w:sz="8" w:space="0"/>
              <w:right w:val="nil"/>
            </w:tcBorders>
            <w:shd w:val="clear" w:color="auto" w:fill="auto"/>
            <w:vAlign w:val="center"/>
          </w:tcPr>
          <w:p w14:paraId="6E052A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2,053,509.91 </w:t>
            </w:r>
          </w:p>
        </w:tc>
      </w:tr>
      <w:tr w14:paraId="3B338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47" w:type="dxa"/>
            <w:tcBorders>
              <w:top w:val="nil"/>
              <w:left w:val="nil"/>
              <w:bottom w:val="single" w:color="000000" w:sz="8" w:space="0"/>
              <w:right w:val="single" w:color="000000" w:sz="8" w:space="0"/>
            </w:tcBorders>
            <w:shd w:val="clear" w:color="auto" w:fill="auto"/>
            <w:vAlign w:val="center"/>
          </w:tcPr>
          <w:p w14:paraId="266E8A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6218" w:type="dxa"/>
            <w:tcBorders>
              <w:top w:val="nil"/>
              <w:left w:val="nil"/>
              <w:bottom w:val="single" w:color="000000" w:sz="8" w:space="0"/>
              <w:right w:val="single" w:color="000000" w:sz="8" w:space="0"/>
            </w:tcBorders>
            <w:shd w:val="clear" w:color="auto" w:fill="auto"/>
            <w:vAlign w:val="center"/>
          </w:tcPr>
          <w:p w14:paraId="0756B1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一级资本净额（万元）</w:t>
            </w:r>
          </w:p>
        </w:tc>
        <w:tc>
          <w:tcPr>
            <w:tcW w:w="1543" w:type="dxa"/>
            <w:tcBorders>
              <w:top w:val="nil"/>
              <w:left w:val="nil"/>
              <w:bottom w:val="single" w:color="000000" w:sz="8" w:space="0"/>
              <w:right w:val="nil"/>
            </w:tcBorders>
            <w:shd w:val="clear" w:color="auto" w:fill="auto"/>
            <w:vAlign w:val="center"/>
          </w:tcPr>
          <w:p w14:paraId="445926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2,053,509.91 </w:t>
            </w:r>
          </w:p>
        </w:tc>
      </w:tr>
      <w:tr w14:paraId="2C2A8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47" w:type="dxa"/>
            <w:tcBorders>
              <w:top w:val="nil"/>
              <w:left w:val="nil"/>
              <w:bottom w:val="single" w:color="000000" w:sz="8" w:space="0"/>
              <w:right w:val="single" w:color="000000" w:sz="8" w:space="0"/>
            </w:tcBorders>
            <w:shd w:val="clear" w:color="auto" w:fill="auto"/>
            <w:vAlign w:val="center"/>
          </w:tcPr>
          <w:p w14:paraId="18F556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6218" w:type="dxa"/>
            <w:tcBorders>
              <w:top w:val="nil"/>
              <w:left w:val="nil"/>
              <w:bottom w:val="single" w:color="000000" w:sz="8" w:space="0"/>
              <w:right w:val="single" w:color="000000" w:sz="8" w:space="0"/>
            </w:tcBorders>
            <w:shd w:val="clear" w:color="auto" w:fill="auto"/>
            <w:vAlign w:val="center"/>
          </w:tcPr>
          <w:p w14:paraId="23F448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资本净额（万元）</w:t>
            </w:r>
          </w:p>
        </w:tc>
        <w:tc>
          <w:tcPr>
            <w:tcW w:w="1543" w:type="dxa"/>
            <w:tcBorders>
              <w:top w:val="nil"/>
              <w:left w:val="nil"/>
              <w:bottom w:val="single" w:color="000000" w:sz="8" w:space="0"/>
              <w:right w:val="nil"/>
            </w:tcBorders>
            <w:shd w:val="clear" w:color="auto" w:fill="auto"/>
            <w:vAlign w:val="center"/>
          </w:tcPr>
          <w:p w14:paraId="1F4D47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2,133,191.11 </w:t>
            </w:r>
          </w:p>
        </w:tc>
      </w:tr>
      <w:tr w14:paraId="5C3CC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9D9D9"/>
            <w:vAlign w:val="top"/>
          </w:tcPr>
          <w:p w14:paraId="6077552D">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风险加权资产（数额）</w:t>
            </w:r>
          </w:p>
        </w:tc>
      </w:tr>
      <w:tr w14:paraId="0252F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47" w:type="dxa"/>
            <w:tcBorders>
              <w:top w:val="nil"/>
              <w:left w:val="nil"/>
              <w:bottom w:val="single" w:color="000000" w:sz="8" w:space="0"/>
              <w:right w:val="single" w:color="000000" w:sz="8" w:space="0"/>
            </w:tcBorders>
            <w:shd w:val="clear" w:color="auto" w:fill="auto"/>
            <w:vAlign w:val="center"/>
          </w:tcPr>
          <w:p w14:paraId="2F9FC7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6218" w:type="dxa"/>
            <w:tcBorders>
              <w:top w:val="nil"/>
              <w:left w:val="nil"/>
              <w:bottom w:val="single" w:color="000000" w:sz="8" w:space="0"/>
              <w:right w:val="single" w:color="000000" w:sz="8" w:space="0"/>
            </w:tcBorders>
            <w:shd w:val="clear" w:color="auto" w:fill="auto"/>
            <w:vAlign w:val="center"/>
          </w:tcPr>
          <w:p w14:paraId="499571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风险加权资产（万元）</w:t>
            </w:r>
          </w:p>
        </w:tc>
        <w:tc>
          <w:tcPr>
            <w:tcW w:w="1543" w:type="dxa"/>
            <w:tcBorders>
              <w:top w:val="nil"/>
              <w:left w:val="nil"/>
              <w:bottom w:val="single" w:color="000000" w:sz="8" w:space="0"/>
              <w:right w:val="nil"/>
            </w:tcBorders>
            <w:shd w:val="clear" w:color="auto" w:fill="auto"/>
            <w:vAlign w:val="center"/>
          </w:tcPr>
          <w:p w14:paraId="44C17FD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7,258,901.36 </w:t>
            </w:r>
          </w:p>
        </w:tc>
      </w:tr>
      <w:tr w14:paraId="7FA1C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9D9D9"/>
            <w:vAlign w:val="top"/>
          </w:tcPr>
          <w:p w14:paraId="57950285">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资本充足率</w:t>
            </w:r>
          </w:p>
        </w:tc>
      </w:tr>
      <w:tr w14:paraId="727A1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47" w:type="dxa"/>
            <w:tcBorders>
              <w:top w:val="nil"/>
              <w:left w:val="nil"/>
              <w:bottom w:val="single" w:color="000000" w:sz="8" w:space="0"/>
              <w:right w:val="single" w:color="000000" w:sz="8" w:space="0"/>
            </w:tcBorders>
            <w:shd w:val="clear" w:color="auto" w:fill="auto"/>
            <w:vAlign w:val="center"/>
          </w:tcPr>
          <w:p w14:paraId="13241C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6218" w:type="dxa"/>
            <w:tcBorders>
              <w:top w:val="nil"/>
              <w:left w:val="nil"/>
              <w:bottom w:val="single" w:color="000000" w:sz="8" w:space="0"/>
              <w:right w:val="single" w:color="000000" w:sz="8" w:space="0"/>
            </w:tcBorders>
            <w:shd w:val="clear" w:color="auto" w:fill="auto"/>
            <w:vAlign w:val="center"/>
          </w:tcPr>
          <w:p w14:paraId="15CD3A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核心一级资本充足率（%）</w:t>
            </w:r>
          </w:p>
        </w:tc>
        <w:tc>
          <w:tcPr>
            <w:tcW w:w="1543" w:type="dxa"/>
            <w:tcBorders>
              <w:top w:val="nil"/>
              <w:left w:val="nil"/>
              <w:bottom w:val="single" w:color="000000" w:sz="8" w:space="0"/>
              <w:right w:val="nil"/>
            </w:tcBorders>
            <w:shd w:val="clear" w:color="auto" w:fill="auto"/>
            <w:vAlign w:val="center"/>
          </w:tcPr>
          <w:p w14:paraId="4665930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28.29%</w:t>
            </w:r>
          </w:p>
        </w:tc>
      </w:tr>
      <w:tr w14:paraId="519D4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47" w:type="dxa"/>
            <w:tcBorders>
              <w:top w:val="nil"/>
              <w:left w:val="nil"/>
              <w:bottom w:val="single" w:color="000000" w:sz="8" w:space="0"/>
              <w:right w:val="single" w:color="000000" w:sz="8" w:space="0"/>
            </w:tcBorders>
            <w:shd w:val="clear" w:color="auto" w:fill="auto"/>
            <w:vAlign w:val="center"/>
          </w:tcPr>
          <w:p w14:paraId="0A5781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6218" w:type="dxa"/>
            <w:tcBorders>
              <w:top w:val="nil"/>
              <w:left w:val="nil"/>
              <w:bottom w:val="single" w:color="000000" w:sz="8" w:space="0"/>
              <w:right w:val="single" w:color="000000" w:sz="8" w:space="0"/>
            </w:tcBorders>
            <w:shd w:val="clear" w:color="auto" w:fill="auto"/>
            <w:vAlign w:val="center"/>
          </w:tcPr>
          <w:p w14:paraId="6C07FA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一级资本充足率（%）</w:t>
            </w:r>
          </w:p>
        </w:tc>
        <w:tc>
          <w:tcPr>
            <w:tcW w:w="1543" w:type="dxa"/>
            <w:tcBorders>
              <w:top w:val="nil"/>
              <w:left w:val="nil"/>
              <w:bottom w:val="single" w:color="000000" w:sz="8" w:space="0"/>
              <w:right w:val="nil"/>
            </w:tcBorders>
            <w:shd w:val="clear" w:color="auto" w:fill="auto"/>
            <w:vAlign w:val="center"/>
          </w:tcPr>
          <w:p w14:paraId="6B17D18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28.29%</w:t>
            </w:r>
          </w:p>
        </w:tc>
      </w:tr>
      <w:tr w14:paraId="04042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47" w:type="dxa"/>
            <w:tcBorders>
              <w:top w:val="nil"/>
              <w:left w:val="nil"/>
              <w:bottom w:val="single" w:color="000000" w:sz="8" w:space="0"/>
              <w:right w:val="single" w:color="000000" w:sz="8" w:space="0"/>
            </w:tcBorders>
            <w:shd w:val="clear" w:color="auto" w:fill="auto"/>
            <w:vAlign w:val="center"/>
          </w:tcPr>
          <w:p w14:paraId="06F510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6218" w:type="dxa"/>
            <w:tcBorders>
              <w:top w:val="nil"/>
              <w:left w:val="nil"/>
              <w:bottom w:val="single" w:color="000000" w:sz="8" w:space="0"/>
              <w:right w:val="single" w:color="000000" w:sz="8" w:space="0"/>
            </w:tcBorders>
            <w:shd w:val="clear" w:color="auto" w:fill="auto"/>
            <w:vAlign w:val="center"/>
          </w:tcPr>
          <w:p w14:paraId="24F7CD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资本充足率（%）</w:t>
            </w:r>
          </w:p>
        </w:tc>
        <w:tc>
          <w:tcPr>
            <w:tcW w:w="1543" w:type="dxa"/>
            <w:tcBorders>
              <w:top w:val="nil"/>
              <w:left w:val="nil"/>
              <w:bottom w:val="single" w:color="000000" w:sz="8" w:space="0"/>
              <w:right w:val="nil"/>
            </w:tcBorders>
            <w:shd w:val="clear" w:color="auto" w:fill="auto"/>
            <w:vAlign w:val="center"/>
          </w:tcPr>
          <w:p w14:paraId="6787853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29.39%</w:t>
            </w:r>
          </w:p>
        </w:tc>
      </w:tr>
      <w:tr w14:paraId="3A34C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9D9D9"/>
            <w:vAlign w:val="top"/>
          </w:tcPr>
          <w:p w14:paraId="2061BEBD">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其他各级资本要求</w:t>
            </w:r>
          </w:p>
        </w:tc>
      </w:tr>
      <w:tr w14:paraId="2E02B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47" w:type="dxa"/>
            <w:tcBorders>
              <w:top w:val="nil"/>
              <w:left w:val="nil"/>
              <w:bottom w:val="single" w:color="000000" w:sz="8" w:space="0"/>
              <w:right w:val="single" w:color="000000" w:sz="8" w:space="0"/>
            </w:tcBorders>
            <w:shd w:val="clear" w:color="auto" w:fill="auto"/>
            <w:vAlign w:val="center"/>
          </w:tcPr>
          <w:p w14:paraId="7B04E0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6218" w:type="dxa"/>
            <w:tcBorders>
              <w:top w:val="nil"/>
              <w:left w:val="nil"/>
              <w:bottom w:val="single" w:color="000000" w:sz="8" w:space="0"/>
              <w:right w:val="single" w:color="000000" w:sz="8" w:space="0"/>
            </w:tcBorders>
            <w:shd w:val="clear" w:color="auto" w:fill="auto"/>
            <w:vAlign w:val="center"/>
          </w:tcPr>
          <w:p w14:paraId="17E84B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储备资本要求（%）</w:t>
            </w:r>
          </w:p>
        </w:tc>
        <w:tc>
          <w:tcPr>
            <w:tcW w:w="1543" w:type="dxa"/>
            <w:tcBorders>
              <w:top w:val="nil"/>
              <w:left w:val="nil"/>
              <w:bottom w:val="single" w:color="000000" w:sz="8" w:space="0"/>
              <w:right w:val="nil"/>
            </w:tcBorders>
            <w:shd w:val="clear" w:color="auto" w:fill="auto"/>
            <w:vAlign w:val="center"/>
          </w:tcPr>
          <w:p w14:paraId="1F09F63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2.50%</w:t>
            </w:r>
          </w:p>
        </w:tc>
      </w:tr>
      <w:tr w14:paraId="74FD5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47" w:type="dxa"/>
            <w:tcBorders>
              <w:top w:val="nil"/>
              <w:left w:val="nil"/>
              <w:bottom w:val="single" w:color="000000" w:sz="8" w:space="0"/>
              <w:right w:val="single" w:color="000000" w:sz="8" w:space="0"/>
            </w:tcBorders>
            <w:shd w:val="clear" w:color="auto" w:fill="auto"/>
            <w:vAlign w:val="center"/>
          </w:tcPr>
          <w:p w14:paraId="35727D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6218" w:type="dxa"/>
            <w:tcBorders>
              <w:top w:val="nil"/>
              <w:left w:val="nil"/>
              <w:bottom w:val="single" w:color="000000" w:sz="8" w:space="0"/>
              <w:right w:val="single" w:color="000000" w:sz="8" w:space="0"/>
            </w:tcBorders>
            <w:shd w:val="clear" w:color="auto" w:fill="auto"/>
            <w:vAlign w:val="center"/>
          </w:tcPr>
          <w:p w14:paraId="4D96B4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逆周期资本要求（%）</w:t>
            </w:r>
          </w:p>
        </w:tc>
        <w:tc>
          <w:tcPr>
            <w:tcW w:w="1543" w:type="dxa"/>
            <w:tcBorders>
              <w:top w:val="nil"/>
              <w:left w:val="nil"/>
              <w:bottom w:val="single" w:color="000000" w:sz="8" w:space="0"/>
              <w:right w:val="nil"/>
            </w:tcBorders>
            <w:shd w:val="clear" w:color="auto" w:fill="auto"/>
            <w:vAlign w:val="center"/>
          </w:tcPr>
          <w:p w14:paraId="06CF8A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w:t>
            </w:r>
          </w:p>
        </w:tc>
      </w:tr>
      <w:tr w14:paraId="06A28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47" w:type="dxa"/>
            <w:tcBorders>
              <w:top w:val="nil"/>
              <w:left w:val="nil"/>
              <w:bottom w:val="single" w:color="000000" w:sz="8" w:space="0"/>
              <w:right w:val="single" w:color="000000" w:sz="8" w:space="0"/>
            </w:tcBorders>
            <w:shd w:val="clear" w:color="auto" w:fill="auto"/>
            <w:vAlign w:val="center"/>
          </w:tcPr>
          <w:p w14:paraId="64D155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218" w:type="dxa"/>
            <w:tcBorders>
              <w:top w:val="nil"/>
              <w:left w:val="nil"/>
              <w:bottom w:val="single" w:color="000000" w:sz="8" w:space="0"/>
              <w:right w:val="single" w:color="000000" w:sz="8" w:space="0"/>
            </w:tcBorders>
            <w:shd w:val="clear" w:color="auto" w:fill="auto"/>
            <w:vAlign w:val="center"/>
          </w:tcPr>
          <w:p w14:paraId="06BAB6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全球系统重要性银行或国内系统重要性银行附加资本要求（%）</w:t>
            </w:r>
          </w:p>
        </w:tc>
        <w:tc>
          <w:tcPr>
            <w:tcW w:w="1543" w:type="dxa"/>
            <w:tcBorders>
              <w:top w:val="nil"/>
              <w:left w:val="nil"/>
              <w:bottom w:val="single" w:color="000000" w:sz="8" w:space="0"/>
              <w:right w:val="nil"/>
            </w:tcBorders>
            <w:shd w:val="clear" w:color="auto" w:fill="BEBEBE"/>
            <w:vAlign w:val="center"/>
          </w:tcPr>
          <w:p w14:paraId="31EBE738">
            <w:pPr>
              <w:rPr>
                <w:rFonts w:hint="eastAsia" w:asciiTheme="minorEastAsia" w:hAnsiTheme="minorEastAsia" w:eastAsiaTheme="minorEastAsia" w:cstheme="minorEastAsia"/>
                <w:i w:val="0"/>
                <w:iCs w:val="0"/>
                <w:color w:val="000000"/>
                <w:sz w:val="18"/>
                <w:szCs w:val="18"/>
                <w:u w:val="none"/>
              </w:rPr>
            </w:pPr>
          </w:p>
        </w:tc>
      </w:tr>
      <w:tr w14:paraId="1EFFA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47" w:type="dxa"/>
            <w:tcBorders>
              <w:top w:val="nil"/>
              <w:left w:val="nil"/>
              <w:bottom w:val="single" w:color="000000" w:sz="8" w:space="0"/>
              <w:right w:val="single" w:color="000000" w:sz="8" w:space="0"/>
            </w:tcBorders>
            <w:shd w:val="clear" w:color="auto" w:fill="auto"/>
            <w:vAlign w:val="center"/>
          </w:tcPr>
          <w:p w14:paraId="15BB01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6218" w:type="dxa"/>
            <w:tcBorders>
              <w:top w:val="nil"/>
              <w:left w:val="nil"/>
              <w:bottom w:val="single" w:color="000000" w:sz="8" w:space="0"/>
              <w:right w:val="single" w:color="000000" w:sz="8" w:space="0"/>
            </w:tcBorders>
            <w:shd w:val="clear" w:color="auto" w:fill="auto"/>
            <w:vAlign w:val="center"/>
          </w:tcPr>
          <w:p w14:paraId="406C74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其他各级资本要求（%）（8+9+10）</w:t>
            </w:r>
          </w:p>
        </w:tc>
        <w:tc>
          <w:tcPr>
            <w:tcW w:w="1543" w:type="dxa"/>
            <w:tcBorders>
              <w:top w:val="nil"/>
              <w:left w:val="nil"/>
              <w:bottom w:val="single" w:color="000000" w:sz="8" w:space="0"/>
              <w:right w:val="nil"/>
            </w:tcBorders>
            <w:shd w:val="clear" w:color="auto" w:fill="auto"/>
            <w:vAlign w:val="center"/>
          </w:tcPr>
          <w:p w14:paraId="7EBF118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2.50%</w:t>
            </w:r>
          </w:p>
        </w:tc>
      </w:tr>
      <w:tr w14:paraId="0D11F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47" w:type="dxa"/>
            <w:tcBorders>
              <w:top w:val="nil"/>
              <w:left w:val="nil"/>
              <w:bottom w:val="single" w:color="000000" w:sz="8" w:space="0"/>
              <w:right w:val="single" w:color="000000" w:sz="8" w:space="0"/>
            </w:tcBorders>
            <w:shd w:val="clear" w:color="auto" w:fill="auto"/>
            <w:vAlign w:val="center"/>
          </w:tcPr>
          <w:p w14:paraId="764042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6218" w:type="dxa"/>
            <w:tcBorders>
              <w:top w:val="nil"/>
              <w:left w:val="nil"/>
              <w:bottom w:val="single" w:color="000000" w:sz="8" w:space="0"/>
              <w:right w:val="single" w:color="000000" w:sz="8" w:space="0"/>
            </w:tcBorders>
            <w:shd w:val="clear" w:color="auto" w:fill="auto"/>
            <w:vAlign w:val="center"/>
          </w:tcPr>
          <w:p w14:paraId="2E779B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满足最低资本要求后的可用核心一级资本净额占风险加权资产的比例（%）</w:t>
            </w:r>
          </w:p>
        </w:tc>
        <w:tc>
          <w:tcPr>
            <w:tcW w:w="1543" w:type="dxa"/>
            <w:tcBorders>
              <w:top w:val="nil"/>
              <w:left w:val="nil"/>
              <w:bottom w:val="single" w:color="000000" w:sz="8" w:space="0"/>
              <w:right w:val="nil"/>
            </w:tcBorders>
            <w:shd w:val="clear" w:color="auto" w:fill="auto"/>
            <w:vAlign w:val="center"/>
          </w:tcPr>
          <w:p w14:paraId="0E4AAC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21.39%</w:t>
            </w:r>
          </w:p>
        </w:tc>
      </w:tr>
      <w:tr w14:paraId="5FA06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9D9D9"/>
            <w:vAlign w:val="top"/>
          </w:tcPr>
          <w:p w14:paraId="110E929F">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杠杆率</w:t>
            </w:r>
          </w:p>
        </w:tc>
      </w:tr>
      <w:tr w14:paraId="602FF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47" w:type="dxa"/>
            <w:tcBorders>
              <w:top w:val="nil"/>
              <w:left w:val="nil"/>
              <w:bottom w:val="single" w:color="000000" w:sz="8" w:space="0"/>
              <w:right w:val="single" w:color="000000" w:sz="8" w:space="0"/>
            </w:tcBorders>
            <w:shd w:val="clear" w:color="auto" w:fill="auto"/>
            <w:vAlign w:val="center"/>
          </w:tcPr>
          <w:p w14:paraId="2757DD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6218" w:type="dxa"/>
            <w:tcBorders>
              <w:top w:val="nil"/>
              <w:left w:val="nil"/>
              <w:bottom w:val="single" w:color="000000" w:sz="8" w:space="0"/>
              <w:right w:val="single" w:color="000000" w:sz="8" w:space="0"/>
            </w:tcBorders>
            <w:shd w:val="clear" w:color="auto" w:fill="auto"/>
            <w:vAlign w:val="center"/>
          </w:tcPr>
          <w:p w14:paraId="27E8DE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调整后表内外资产余额（万元）</w:t>
            </w:r>
          </w:p>
        </w:tc>
        <w:tc>
          <w:tcPr>
            <w:tcW w:w="1543" w:type="dxa"/>
            <w:tcBorders>
              <w:top w:val="nil"/>
              <w:left w:val="nil"/>
              <w:bottom w:val="single" w:color="000000" w:sz="8" w:space="0"/>
              <w:right w:val="nil"/>
            </w:tcBorders>
            <w:shd w:val="clear" w:color="auto" w:fill="auto"/>
            <w:vAlign w:val="center"/>
          </w:tcPr>
          <w:p w14:paraId="7F19B8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11,884,533.37 </w:t>
            </w:r>
          </w:p>
        </w:tc>
      </w:tr>
      <w:tr w14:paraId="5EA20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47" w:type="dxa"/>
            <w:tcBorders>
              <w:top w:val="nil"/>
              <w:left w:val="nil"/>
              <w:bottom w:val="single" w:color="000000" w:sz="8" w:space="0"/>
              <w:right w:val="single" w:color="000000" w:sz="8" w:space="0"/>
            </w:tcBorders>
            <w:shd w:val="clear" w:color="auto" w:fill="auto"/>
            <w:vAlign w:val="center"/>
          </w:tcPr>
          <w:p w14:paraId="331E0D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6218" w:type="dxa"/>
            <w:tcBorders>
              <w:top w:val="nil"/>
              <w:left w:val="nil"/>
              <w:bottom w:val="single" w:color="000000" w:sz="8" w:space="0"/>
              <w:right w:val="single" w:color="000000" w:sz="8" w:space="0"/>
            </w:tcBorders>
            <w:shd w:val="clear" w:color="auto" w:fill="auto"/>
            <w:vAlign w:val="center"/>
          </w:tcPr>
          <w:p w14:paraId="6A24A2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杠杆率（%）</w:t>
            </w:r>
          </w:p>
        </w:tc>
        <w:tc>
          <w:tcPr>
            <w:tcW w:w="1543" w:type="dxa"/>
            <w:tcBorders>
              <w:top w:val="nil"/>
              <w:left w:val="nil"/>
              <w:bottom w:val="single" w:color="000000" w:sz="8" w:space="0"/>
              <w:right w:val="nil"/>
            </w:tcBorders>
            <w:shd w:val="clear" w:color="auto" w:fill="auto"/>
            <w:vAlign w:val="center"/>
          </w:tcPr>
          <w:p w14:paraId="69A84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17.28%</w:t>
            </w:r>
          </w:p>
        </w:tc>
      </w:tr>
      <w:tr w14:paraId="5E59C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47" w:type="dxa"/>
            <w:tcBorders>
              <w:top w:val="nil"/>
              <w:left w:val="nil"/>
              <w:bottom w:val="single" w:color="000000" w:sz="8" w:space="0"/>
              <w:right w:val="single" w:color="000000" w:sz="8" w:space="0"/>
            </w:tcBorders>
            <w:shd w:val="clear" w:color="auto" w:fill="auto"/>
            <w:vAlign w:val="center"/>
          </w:tcPr>
          <w:p w14:paraId="442A38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14a</w:t>
            </w:r>
          </w:p>
        </w:tc>
        <w:tc>
          <w:tcPr>
            <w:tcW w:w="6218" w:type="dxa"/>
            <w:tcBorders>
              <w:top w:val="nil"/>
              <w:left w:val="nil"/>
              <w:bottom w:val="single" w:color="000000" w:sz="8" w:space="0"/>
              <w:right w:val="single" w:color="000000" w:sz="8" w:space="0"/>
            </w:tcBorders>
            <w:shd w:val="clear" w:color="auto" w:fill="auto"/>
            <w:vAlign w:val="center"/>
          </w:tcPr>
          <w:p w14:paraId="60DDCB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杠杆率a（%）</w:t>
            </w:r>
          </w:p>
        </w:tc>
        <w:tc>
          <w:tcPr>
            <w:tcW w:w="1543" w:type="dxa"/>
            <w:tcBorders>
              <w:top w:val="nil"/>
              <w:left w:val="nil"/>
              <w:bottom w:val="single" w:color="000000" w:sz="8" w:space="0"/>
              <w:right w:val="nil"/>
            </w:tcBorders>
            <w:shd w:val="clear" w:color="auto" w:fill="auto"/>
            <w:vAlign w:val="center"/>
          </w:tcPr>
          <w:p w14:paraId="15858A5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17.28%</w:t>
            </w:r>
          </w:p>
        </w:tc>
      </w:tr>
      <w:tr w14:paraId="00D74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9D9D9"/>
            <w:vAlign w:val="top"/>
          </w:tcPr>
          <w:p w14:paraId="0AF8EDAF">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流动性覆盖率</w:t>
            </w:r>
          </w:p>
        </w:tc>
      </w:tr>
      <w:tr w14:paraId="1C972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47" w:type="dxa"/>
            <w:tcBorders>
              <w:top w:val="nil"/>
              <w:left w:val="nil"/>
              <w:bottom w:val="single" w:color="000000" w:sz="8" w:space="0"/>
              <w:right w:val="single" w:color="000000" w:sz="8" w:space="0"/>
            </w:tcBorders>
            <w:shd w:val="clear" w:color="auto" w:fill="auto"/>
            <w:vAlign w:val="center"/>
          </w:tcPr>
          <w:p w14:paraId="237BAB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6218" w:type="dxa"/>
            <w:tcBorders>
              <w:top w:val="nil"/>
              <w:left w:val="nil"/>
              <w:bottom w:val="single" w:color="000000" w:sz="8" w:space="0"/>
              <w:right w:val="single" w:color="000000" w:sz="8" w:space="0"/>
            </w:tcBorders>
            <w:shd w:val="clear" w:color="auto" w:fill="auto"/>
            <w:vAlign w:val="center"/>
          </w:tcPr>
          <w:p w14:paraId="675950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合格优质流动性资产</w:t>
            </w:r>
          </w:p>
        </w:tc>
        <w:tc>
          <w:tcPr>
            <w:tcW w:w="1543" w:type="dxa"/>
            <w:tcBorders>
              <w:top w:val="nil"/>
              <w:left w:val="nil"/>
              <w:bottom w:val="single" w:color="000000" w:sz="8" w:space="0"/>
              <w:right w:val="nil"/>
            </w:tcBorders>
            <w:shd w:val="clear" w:color="auto" w:fill="BEBEBE"/>
            <w:vAlign w:val="center"/>
          </w:tcPr>
          <w:p w14:paraId="73C43D3B">
            <w:pPr>
              <w:rPr>
                <w:rFonts w:hint="eastAsia" w:asciiTheme="minorEastAsia" w:hAnsiTheme="minorEastAsia" w:eastAsiaTheme="minorEastAsia" w:cstheme="minorEastAsia"/>
                <w:i w:val="0"/>
                <w:iCs w:val="0"/>
                <w:color w:val="000000"/>
                <w:sz w:val="18"/>
                <w:szCs w:val="18"/>
                <w:u w:val="none"/>
              </w:rPr>
            </w:pPr>
          </w:p>
        </w:tc>
      </w:tr>
      <w:tr w14:paraId="034CD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47" w:type="dxa"/>
            <w:tcBorders>
              <w:top w:val="nil"/>
              <w:left w:val="nil"/>
              <w:bottom w:val="single" w:color="000000" w:sz="8" w:space="0"/>
              <w:right w:val="single" w:color="000000" w:sz="8" w:space="0"/>
            </w:tcBorders>
            <w:shd w:val="clear" w:color="auto" w:fill="auto"/>
            <w:vAlign w:val="center"/>
          </w:tcPr>
          <w:p w14:paraId="132CAA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6218" w:type="dxa"/>
            <w:tcBorders>
              <w:top w:val="nil"/>
              <w:left w:val="nil"/>
              <w:bottom w:val="single" w:color="000000" w:sz="8" w:space="0"/>
              <w:right w:val="single" w:color="000000" w:sz="8" w:space="0"/>
            </w:tcBorders>
            <w:shd w:val="clear" w:color="auto" w:fill="auto"/>
            <w:vAlign w:val="center"/>
          </w:tcPr>
          <w:p w14:paraId="37C61A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现金净流出量</w:t>
            </w:r>
          </w:p>
        </w:tc>
        <w:tc>
          <w:tcPr>
            <w:tcW w:w="1543" w:type="dxa"/>
            <w:tcBorders>
              <w:top w:val="nil"/>
              <w:left w:val="nil"/>
              <w:bottom w:val="single" w:color="000000" w:sz="8" w:space="0"/>
              <w:right w:val="nil"/>
            </w:tcBorders>
            <w:shd w:val="clear" w:color="auto" w:fill="BEBEBE"/>
            <w:vAlign w:val="center"/>
          </w:tcPr>
          <w:p w14:paraId="7E07F929">
            <w:pPr>
              <w:rPr>
                <w:rFonts w:hint="eastAsia" w:asciiTheme="minorEastAsia" w:hAnsiTheme="minorEastAsia" w:eastAsiaTheme="minorEastAsia" w:cstheme="minorEastAsia"/>
                <w:i w:val="0"/>
                <w:iCs w:val="0"/>
                <w:color w:val="000000"/>
                <w:sz w:val="18"/>
                <w:szCs w:val="18"/>
                <w:u w:val="none"/>
              </w:rPr>
            </w:pPr>
          </w:p>
        </w:tc>
      </w:tr>
      <w:tr w14:paraId="1E93B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47" w:type="dxa"/>
            <w:tcBorders>
              <w:top w:val="nil"/>
              <w:left w:val="nil"/>
              <w:bottom w:val="single" w:color="000000" w:sz="8" w:space="0"/>
              <w:right w:val="single" w:color="000000" w:sz="8" w:space="0"/>
            </w:tcBorders>
            <w:shd w:val="clear" w:color="auto" w:fill="auto"/>
            <w:vAlign w:val="center"/>
          </w:tcPr>
          <w:p w14:paraId="0AF538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6218" w:type="dxa"/>
            <w:tcBorders>
              <w:top w:val="nil"/>
              <w:left w:val="nil"/>
              <w:bottom w:val="single" w:color="000000" w:sz="8" w:space="0"/>
              <w:right w:val="single" w:color="000000" w:sz="8" w:space="0"/>
            </w:tcBorders>
            <w:shd w:val="clear" w:color="auto" w:fill="auto"/>
            <w:vAlign w:val="center"/>
          </w:tcPr>
          <w:p w14:paraId="02A8D2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流动性覆盖率（%）</w:t>
            </w:r>
          </w:p>
        </w:tc>
        <w:tc>
          <w:tcPr>
            <w:tcW w:w="1543" w:type="dxa"/>
            <w:tcBorders>
              <w:top w:val="nil"/>
              <w:left w:val="nil"/>
              <w:bottom w:val="single" w:color="000000" w:sz="8" w:space="0"/>
              <w:right w:val="nil"/>
            </w:tcBorders>
            <w:shd w:val="clear" w:color="auto" w:fill="BEBEBE"/>
            <w:vAlign w:val="center"/>
          </w:tcPr>
          <w:p w14:paraId="199BC450">
            <w:pPr>
              <w:rPr>
                <w:rFonts w:hint="eastAsia" w:asciiTheme="minorEastAsia" w:hAnsiTheme="minorEastAsia" w:eastAsiaTheme="minorEastAsia" w:cstheme="minorEastAsia"/>
                <w:i w:val="0"/>
                <w:iCs w:val="0"/>
                <w:color w:val="000000"/>
                <w:sz w:val="18"/>
                <w:szCs w:val="18"/>
                <w:u w:val="none"/>
              </w:rPr>
            </w:pPr>
          </w:p>
        </w:tc>
      </w:tr>
      <w:tr w14:paraId="7BF45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9D9D9"/>
            <w:vAlign w:val="top"/>
          </w:tcPr>
          <w:p w14:paraId="662B0070">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净稳定资金比例</w:t>
            </w:r>
          </w:p>
        </w:tc>
      </w:tr>
      <w:tr w14:paraId="46E12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47" w:type="dxa"/>
            <w:tcBorders>
              <w:top w:val="nil"/>
              <w:left w:val="nil"/>
              <w:bottom w:val="single" w:color="000000" w:sz="8" w:space="0"/>
              <w:right w:val="single" w:color="000000" w:sz="8" w:space="0"/>
            </w:tcBorders>
            <w:shd w:val="clear" w:color="auto" w:fill="auto"/>
            <w:vAlign w:val="center"/>
          </w:tcPr>
          <w:p w14:paraId="6FCA42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6218" w:type="dxa"/>
            <w:tcBorders>
              <w:top w:val="nil"/>
              <w:left w:val="nil"/>
              <w:bottom w:val="single" w:color="000000" w:sz="8" w:space="0"/>
              <w:right w:val="single" w:color="000000" w:sz="8" w:space="0"/>
            </w:tcBorders>
            <w:shd w:val="clear" w:color="auto" w:fill="auto"/>
            <w:vAlign w:val="center"/>
          </w:tcPr>
          <w:p w14:paraId="18BA0D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可用稳定资金合计</w:t>
            </w:r>
          </w:p>
        </w:tc>
        <w:tc>
          <w:tcPr>
            <w:tcW w:w="1543" w:type="dxa"/>
            <w:tcBorders>
              <w:top w:val="nil"/>
              <w:left w:val="nil"/>
              <w:bottom w:val="single" w:color="000000" w:sz="8" w:space="0"/>
              <w:right w:val="nil"/>
            </w:tcBorders>
            <w:shd w:val="clear" w:color="auto" w:fill="BEBEBE"/>
            <w:vAlign w:val="center"/>
          </w:tcPr>
          <w:p w14:paraId="1C00ED74">
            <w:pPr>
              <w:rPr>
                <w:rFonts w:hint="eastAsia" w:asciiTheme="minorEastAsia" w:hAnsiTheme="minorEastAsia" w:eastAsiaTheme="minorEastAsia" w:cstheme="minorEastAsia"/>
                <w:i w:val="0"/>
                <w:iCs w:val="0"/>
                <w:color w:val="000000"/>
                <w:sz w:val="18"/>
                <w:szCs w:val="18"/>
                <w:u w:val="none"/>
              </w:rPr>
            </w:pPr>
          </w:p>
        </w:tc>
      </w:tr>
      <w:tr w14:paraId="6E06F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47" w:type="dxa"/>
            <w:tcBorders>
              <w:top w:val="nil"/>
              <w:left w:val="nil"/>
              <w:bottom w:val="single" w:color="000000" w:sz="8" w:space="0"/>
              <w:right w:val="single" w:color="000000" w:sz="8" w:space="0"/>
            </w:tcBorders>
            <w:shd w:val="clear" w:color="auto" w:fill="auto"/>
            <w:vAlign w:val="center"/>
          </w:tcPr>
          <w:p w14:paraId="2556A8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w:t>
            </w:r>
          </w:p>
        </w:tc>
        <w:tc>
          <w:tcPr>
            <w:tcW w:w="6218" w:type="dxa"/>
            <w:tcBorders>
              <w:top w:val="nil"/>
              <w:left w:val="nil"/>
              <w:bottom w:val="single" w:color="000000" w:sz="8" w:space="0"/>
              <w:right w:val="single" w:color="000000" w:sz="8" w:space="0"/>
            </w:tcBorders>
            <w:shd w:val="clear" w:color="auto" w:fill="auto"/>
            <w:vAlign w:val="center"/>
          </w:tcPr>
          <w:p w14:paraId="531238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所需稳定资金合计</w:t>
            </w:r>
          </w:p>
        </w:tc>
        <w:tc>
          <w:tcPr>
            <w:tcW w:w="1543" w:type="dxa"/>
            <w:tcBorders>
              <w:top w:val="nil"/>
              <w:left w:val="nil"/>
              <w:bottom w:val="single" w:color="000000" w:sz="8" w:space="0"/>
              <w:right w:val="nil"/>
            </w:tcBorders>
            <w:shd w:val="clear" w:color="auto" w:fill="BEBEBE"/>
            <w:vAlign w:val="center"/>
          </w:tcPr>
          <w:p w14:paraId="1E9BDA7B">
            <w:pPr>
              <w:rPr>
                <w:rFonts w:hint="eastAsia" w:asciiTheme="minorEastAsia" w:hAnsiTheme="minorEastAsia" w:eastAsiaTheme="minorEastAsia" w:cstheme="minorEastAsia"/>
                <w:i w:val="0"/>
                <w:iCs w:val="0"/>
                <w:color w:val="000000"/>
                <w:sz w:val="18"/>
                <w:szCs w:val="18"/>
                <w:u w:val="none"/>
              </w:rPr>
            </w:pPr>
          </w:p>
        </w:tc>
      </w:tr>
      <w:tr w14:paraId="3C2E5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47" w:type="dxa"/>
            <w:tcBorders>
              <w:top w:val="nil"/>
              <w:left w:val="nil"/>
              <w:bottom w:val="single" w:color="000000" w:sz="8" w:space="0"/>
              <w:right w:val="single" w:color="000000" w:sz="8" w:space="0"/>
            </w:tcBorders>
            <w:shd w:val="clear" w:color="auto" w:fill="auto"/>
            <w:vAlign w:val="center"/>
          </w:tcPr>
          <w:p w14:paraId="5D84FB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6218" w:type="dxa"/>
            <w:tcBorders>
              <w:top w:val="nil"/>
              <w:left w:val="nil"/>
              <w:bottom w:val="single" w:color="000000" w:sz="8" w:space="0"/>
              <w:right w:val="single" w:color="000000" w:sz="8" w:space="0"/>
            </w:tcBorders>
            <w:shd w:val="clear" w:color="auto" w:fill="auto"/>
            <w:vAlign w:val="center"/>
          </w:tcPr>
          <w:p w14:paraId="10758C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净稳定资金比例（%）</w:t>
            </w:r>
          </w:p>
        </w:tc>
        <w:tc>
          <w:tcPr>
            <w:tcW w:w="1543" w:type="dxa"/>
            <w:tcBorders>
              <w:top w:val="nil"/>
              <w:left w:val="nil"/>
              <w:bottom w:val="single" w:color="000000" w:sz="8" w:space="0"/>
              <w:right w:val="nil"/>
            </w:tcBorders>
            <w:shd w:val="clear" w:color="auto" w:fill="BEBEBE"/>
            <w:vAlign w:val="center"/>
          </w:tcPr>
          <w:p w14:paraId="7B9C47D0">
            <w:pPr>
              <w:rPr>
                <w:rFonts w:hint="eastAsia" w:asciiTheme="minorEastAsia" w:hAnsiTheme="minorEastAsia" w:eastAsiaTheme="minorEastAsia" w:cstheme="minorEastAsia"/>
                <w:i w:val="0"/>
                <w:iCs w:val="0"/>
                <w:color w:val="000000"/>
                <w:sz w:val="18"/>
                <w:szCs w:val="18"/>
                <w:u w:val="none"/>
              </w:rPr>
            </w:pPr>
          </w:p>
        </w:tc>
      </w:tr>
      <w:tr w14:paraId="045A7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8308" w:type="dxa"/>
            <w:gridSpan w:val="3"/>
            <w:tcBorders>
              <w:top w:val="nil"/>
              <w:left w:val="nil"/>
              <w:bottom w:val="single" w:color="000000" w:sz="8" w:space="0"/>
              <w:right w:val="nil"/>
            </w:tcBorders>
            <w:shd w:val="clear" w:color="auto" w:fill="D8D8D8"/>
            <w:vAlign w:val="top"/>
          </w:tcPr>
          <w:p w14:paraId="3987CB6E">
            <w:pPr>
              <w:keepNext w:val="0"/>
              <w:keepLines w:val="0"/>
              <w:widowControl/>
              <w:suppressLineNumbers w:val="0"/>
              <w:jc w:val="left"/>
              <w:textAlignment w:val="top"/>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流动性比例</w:t>
            </w:r>
          </w:p>
        </w:tc>
      </w:tr>
      <w:tr w14:paraId="27A96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 w:hRule="atLeast"/>
        </w:trPr>
        <w:tc>
          <w:tcPr>
            <w:tcW w:w="547" w:type="dxa"/>
            <w:tcBorders>
              <w:top w:val="nil"/>
              <w:left w:val="nil"/>
              <w:bottom w:val="single" w:color="000000" w:sz="8" w:space="0"/>
              <w:right w:val="single" w:color="000000" w:sz="8" w:space="0"/>
            </w:tcBorders>
            <w:shd w:val="clear" w:color="auto" w:fill="FFFFFF"/>
            <w:vAlign w:val="center"/>
          </w:tcPr>
          <w:p w14:paraId="799BBD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w:t>
            </w:r>
          </w:p>
        </w:tc>
        <w:tc>
          <w:tcPr>
            <w:tcW w:w="6218" w:type="dxa"/>
            <w:tcBorders>
              <w:top w:val="nil"/>
              <w:left w:val="nil"/>
              <w:bottom w:val="single" w:color="000000" w:sz="8" w:space="0"/>
              <w:right w:val="single" w:color="000000" w:sz="8" w:space="0"/>
            </w:tcBorders>
            <w:shd w:val="clear" w:color="auto" w:fill="FFFFFF"/>
            <w:vAlign w:val="center"/>
          </w:tcPr>
          <w:p w14:paraId="3C7ED8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流动性比例（%）</w:t>
            </w:r>
          </w:p>
        </w:tc>
        <w:tc>
          <w:tcPr>
            <w:tcW w:w="1543" w:type="dxa"/>
            <w:tcBorders>
              <w:top w:val="nil"/>
              <w:left w:val="nil"/>
              <w:bottom w:val="single" w:color="000000" w:sz="8" w:space="0"/>
              <w:right w:val="nil"/>
            </w:tcBorders>
            <w:shd w:val="clear" w:color="auto" w:fill="FFFFFF"/>
            <w:vAlign w:val="center"/>
          </w:tcPr>
          <w:p w14:paraId="66FC8FC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201.36%</w:t>
            </w:r>
          </w:p>
        </w:tc>
      </w:tr>
    </w:tbl>
    <w:p w14:paraId="097C04AE">
      <w:pPr>
        <w:jc w:val="both"/>
        <w:rPr>
          <w:rFonts w:hint="eastAsia" w:asciiTheme="minorEastAsia" w:hAnsiTheme="minorEastAsia" w:eastAsiaTheme="minorEastAsia" w:cstheme="minorEastAsia"/>
          <w:sz w:val="32"/>
          <w:szCs w:val="32"/>
          <w:lang w:val="en-US" w:eastAsia="zh-CN"/>
        </w:rPr>
      </w:pPr>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E53BB"/>
    <w:rsid w:val="0270061D"/>
    <w:rsid w:val="02923BB9"/>
    <w:rsid w:val="042E69E2"/>
    <w:rsid w:val="053C0C8A"/>
    <w:rsid w:val="056735C4"/>
    <w:rsid w:val="05BF71D7"/>
    <w:rsid w:val="072F5BA6"/>
    <w:rsid w:val="07E86EA8"/>
    <w:rsid w:val="07F41CF0"/>
    <w:rsid w:val="09012917"/>
    <w:rsid w:val="0AD876A7"/>
    <w:rsid w:val="0E286250"/>
    <w:rsid w:val="0E87741A"/>
    <w:rsid w:val="1025513D"/>
    <w:rsid w:val="109220A6"/>
    <w:rsid w:val="110A4333"/>
    <w:rsid w:val="11ED1C8A"/>
    <w:rsid w:val="12F2507E"/>
    <w:rsid w:val="13693592"/>
    <w:rsid w:val="13EE1CEA"/>
    <w:rsid w:val="144813FA"/>
    <w:rsid w:val="14DC77B4"/>
    <w:rsid w:val="158F79C6"/>
    <w:rsid w:val="168D6D6B"/>
    <w:rsid w:val="17C27715"/>
    <w:rsid w:val="18226406"/>
    <w:rsid w:val="186500A0"/>
    <w:rsid w:val="19E75211"/>
    <w:rsid w:val="1B3C158C"/>
    <w:rsid w:val="1C1B73F4"/>
    <w:rsid w:val="1DA04055"/>
    <w:rsid w:val="1DCB4E4A"/>
    <w:rsid w:val="1EB01FC6"/>
    <w:rsid w:val="1FD06057"/>
    <w:rsid w:val="21F26E49"/>
    <w:rsid w:val="21F32267"/>
    <w:rsid w:val="22963C78"/>
    <w:rsid w:val="233E645E"/>
    <w:rsid w:val="237C4C1C"/>
    <w:rsid w:val="251011E2"/>
    <w:rsid w:val="26804A23"/>
    <w:rsid w:val="26FE399B"/>
    <w:rsid w:val="27EB2370"/>
    <w:rsid w:val="29995DFC"/>
    <w:rsid w:val="2B867418"/>
    <w:rsid w:val="2E705456"/>
    <w:rsid w:val="30615D5A"/>
    <w:rsid w:val="3169043B"/>
    <w:rsid w:val="333E1EEE"/>
    <w:rsid w:val="333F5C66"/>
    <w:rsid w:val="336E3E55"/>
    <w:rsid w:val="33A54474"/>
    <w:rsid w:val="33C76FDD"/>
    <w:rsid w:val="340D3AC4"/>
    <w:rsid w:val="34E40873"/>
    <w:rsid w:val="35446E64"/>
    <w:rsid w:val="36293965"/>
    <w:rsid w:val="36A71B58"/>
    <w:rsid w:val="370C2303"/>
    <w:rsid w:val="37CF6FA1"/>
    <w:rsid w:val="38C74734"/>
    <w:rsid w:val="38D806EF"/>
    <w:rsid w:val="3ABF2E0D"/>
    <w:rsid w:val="3D4643CA"/>
    <w:rsid w:val="3D471F65"/>
    <w:rsid w:val="3F0F473E"/>
    <w:rsid w:val="40055B41"/>
    <w:rsid w:val="42AE640B"/>
    <w:rsid w:val="44C1472D"/>
    <w:rsid w:val="46933EA7"/>
    <w:rsid w:val="472D60AA"/>
    <w:rsid w:val="48DD765B"/>
    <w:rsid w:val="49303C2F"/>
    <w:rsid w:val="4A77763C"/>
    <w:rsid w:val="4B8464B4"/>
    <w:rsid w:val="4BD72E77"/>
    <w:rsid w:val="4C5F192D"/>
    <w:rsid w:val="4C673E0C"/>
    <w:rsid w:val="4CD86AB8"/>
    <w:rsid w:val="4DB1031F"/>
    <w:rsid w:val="4E797E26"/>
    <w:rsid w:val="536746F1"/>
    <w:rsid w:val="54442C85"/>
    <w:rsid w:val="544B7B6F"/>
    <w:rsid w:val="55AD03B6"/>
    <w:rsid w:val="55F83D27"/>
    <w:rsid w:val="57F347A6"/>
    <w:rsid w:val="5A761D28"/>
    <w:rsid w:val="5CFC234E"/>
    <w:rsid w:val="5DDB01B6"/>
    <w:rsid w:val="5E371164"/>
    <w:rsid w:val="60FB46CB"/>
    <w:rsid w:val="61243C22"/>
    <w:rsid w:val="64547560"/>
    <w:rsid w:val="64E77440"/>
    <w:rsid w:val="673F7A07"/>
    <w:rsid w:val="679D472E"/>
    <w:rsid w:val="67B2450B"/>
    <w:rsid w:val="68A67612"/>
    <w:rsid w:val="692F13B6"/>
    <w:rsid w:val="696F5C56"/>
    <w:rsid w:val="6AB53B3C"/>
    <w:rsid w:val="6B4B2575"/>
    <w:rsid w:val="6BE97F42"/>
    <w:rsid w:val="6D192AA9"/>
    <w:rsid w:val="6DCF3167"/>
    <w:rsid w:val="6E873A42"/>
    <w:rsid w:val="70840239"/>
    <w:rsid w:val="70CE3BAA"/>
    <w:rsid w:val="7186510F"/>
    <w:rsid w:val="74281823"/>
    <w:rsid w:val="742F670E"/>
    <w:rsid w:val="77040B90"/>
    <w:rsid w:val="774150D6"/>
    <w:rsid w:val="788A6608"/>
    <w:rsid w:val="78FA33C0"/>
    <w:rsid w:val="79F521A7"/>
    <w:rsid w:val="7A170370"/>
    <w:rsid w:val="7AC21415"/>
    <w:rsid w:val="7ADD5115"/>
    <w:rsid w:val="7AFD1314"/>
    <w:rsid w:val="7DB36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21"/>
    <w:basedOn w:val="5"/>
    <w:qFormat/>
    <w:uiPriority w:val="0"/>
    <w:rPr>
      <w:rFonts w:hint="eastAsia" w:ascii="微软雅黑" w:hAnsi="微软雅黑" w:eastAsia="微软雅黑" w:cs="微软雅黑"/>
      <w:b/>
      <w:bCs/>
      <w:color w:val="000000"/>
      <w:sz w:val="18"/>
      <w:szCs w:val="18"/>
      <w:u w:val="none"/>
    </w:rPr>
  </w:style>
  <w:style w:type="character" w:customStyle="1" w:styleId="7">
    <w:name w:val="font11"/>
    <w:basedOn w:val="5"/>
    <w:qFormat/>
    <w:uiPriority w:val="0"/>
    <w:rPr>
      <w:rFonts w:hint="eastAsia"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428</Words>
  <Characters>557</Characters>
  <Lines>0</Lines>
  <Paragraphs>0</Paragraphs>
  <TotalTime>0</TotalTime>
  <ScaleCrop>false</ScaleCrop>
  <LinksUpToDate>false</LinksUpToDate>
  <CharactersWithSpaces>567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2025-08-18T06:18:00Z</dcterms:created>
  <dc:creator>SY</dc:creator>
  <cp:lastModifiedBy>WPS_1591106092</cp:lastModifiedBy>
  <dcterms:modified xsi:type="dcterms:W3CDTF">2025-08-21T01:38:03Z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eyJoZGlkIjoiOTMxODc1NmJkZTdlMTMxNjdmNTZiNjY2OTEyYjNmNGMiLCJ1c2VySWQiOiIxMDA0ODc0OTc2In0=</vt:lpwstr>
  </property>
  <property fmtid="{D5CDD505-2E9C-101B-9397-08002B2CF9AE}" pid="4" name="ICV">
    <vt:lpwstr>97C6904D5C4D4C40BD402DDADCAC3352_12</vt:lpwstr>
  </property>
</Properties>
</file>